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369" w:rsidRDefault="00E14369" w:rsidP="00E143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2C4">
        <w:rPr>
          <w:rFonts w:ascii="Times New Roman" w:hAnsi="Times New Roman" w:cs="Times New Roman"/>
          <w:b/>
          <w:sz w:val="24"/>
          <w:szCs w:val="24"/>
        </w:rPr>
        <w:t>ÁLTALÁNOS INDOKOLÁS</w:t>
      </w:r>
    </w:p>
    <w:p w:rsidR="00E14369" w:rsidRDefault="00E14369" w:rsidP="00E143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369" w:rsidRDefault="00E14369" w:rsidP="00E14369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A helyi rendelet megalkotását </w:t>
      </w:r>
      <w:r w:rsidRPr="00B21FEE">
        <w:rPr>
          <w:rFonts w:ascii="Times New Roman" w:hAnsi="Times New Roman" w:cs="Times New Roman"/>
          <w:i/>
          <w:spacing w:val="-3"/>
          <w:sz w:val="24"/>
          <w:szCs w:val="24"/>
        </w:rPr>
        <w:t>a magyar építészetről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szóló 2023. évi C törvény írja elő a járásszékhely településeken.</w:t>
      </w:r>
    </w:p>
    <w:p w:rsidR="00E14369" w:rsidRDefault="00E14369" w:rsidP="00E14369">
      <w:pPr>
        <w:tabs>
          <w:tab w:val="left" w:pos="-720"/>
        </w:tabs>
        <w:suppressAutoHyphens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E14369" w:rsidRDefault="00E14369" w:rsidP="00E14369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7412C4">
        <w:rPr>
          <w:rFonts w:ascii="Times New Roman" w:hAnsi="Times New Roman" w:cs="Times New Roman"/>
          <w:b/>
          <w:spacing w:val="-3"/>
          <w:sz w:val="24"/>
          <w:szCs w:val="24"/>
        </w:rPr>
        <w:t>RÉSZLETES INDOKOLÁS</w:t>
      </w:r>
    </w:p>
    <w:p w:rsidR="00E14369" w:rsidRPr="00F94FB9" w:rsidRDefault="00E14369" w:rsidP="00E14369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pacing w:val="-3"/>
          <w:sz w:val="24"/>
          <w:szCs w:val="24"/>
        </w:rPr>
        <w:t>az</w:t>
      </w:r>
      <w:proofErr w:type="gramEnd"/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alábbi szakaszokhoz:</w:t>
      </w:r>
    </w:p>
    <w:p w:rsidR="00E14369" w:rsidRDefault="00E14369" w:rsidP="00E14369">
      <w:pPr>
        <w:pStyle w:val="uj"/>
        <w:spacing w:before="0" w:beforeAutospacing="0" w:after="240" w:afterAutospacing="0"/>
        <w:jc w:val="both"/>
        <w:rPr>
          <w:color w:val="000000"/>
        </w:rPr>
      </w:pPr>
      <w:r>
        <w:t>1. §:</w:t>
      </w:r>
      <w:r w:rsidRPr="00002A50">
        <w:t xml:space="preserve"> </w:t>
      </w:r>
      <w:r>
        <w:t xml:space="preserve">A jogszabály megjelöli az elérendő célt, az érintett eljárásokat, amelyekben alkalmazni kell, illetve az alkalmazásának kereteit, amelyet magasabb szintű jogszabályok fogalmaznak meg. A cél </w:t>
      </w:r>
      <w:r w:rsidRPr="006A4CCA">
        <w:rPr>
          <w:color w:val="000000"/>
        </w:rPr>
        <w:t xml:space="preserve">Dunakeszi Város </w:t>
      </w:r>
      <w:r>
        <w:rPr>
          <w:color w:val="000000"/>
        </w:rPr>
        <w:t xml:space="preserve">Önkormányzatának azon törekvése, hogy </w:t>
      </w:r>
      <w:r w:rsidRPr="006A4CCA">
        <w:rPr>
          <w:color w:val="000000"/>
        </w:rPr>
        <w:t xml:space="preserve">a </w:t>
      </w:r>
      <w:r>
        <w:rPr>
          <w:color w:val="000000"/>
        </w:rPr>
        <w:t xml:space="preserve">város élhetőségét elősegítse egy </w:t>
      </w:r>
      <w:r w:rsidRPr="006A4CCA">
        <w:rPr>
          <w:color w:val="000000"/>
        </w:rPr>
        <w:t>esztétikus</w:t>
      </w:r>
      <w:r>
        <w:rPr>
          <w:color w:val="000000"/>
        </w:rPr>
        <w:t xml:space="preserve"> és</w:t>
      </w:r>
      <w:r w:rsidRPr="006A4CCA">
        <w:rPr>
          <w:color w:val="000000"/>
        </w:rPr>
        <w:t xml:space="preserve"> harmonikus</w:t>
      </w:r>
      <w:r>
        <w:rPr>
          <w:color w:val="000000"/>
        </w:rPr>
        <w:t xml:space="preserve"> településkép létrehozásával. A célt a város </w:t>
      </w:r>
      <w:r w:rsidRPr="006A4CCA">
        <w:rPr>
          <w:color w:val="000000"/>
        </w:rPr>
        <w:t>épített környezeté</w:t>
      </w:r>
      <w:r>
        <w:rPr>
          <w:color w:val="000000"/>
        </w:rPr>
        <w:t>nek</w:t>
      </w:r>
      <w:r w:rsidRPr="006A4CCA">
        <w:rPr>
          <w:color w:val="000000"/>
        </w:rPr>
        <w:t xml:space="preserve"> alakítás</w:t>
      </w:r>
      <w:r>
        <w:rPr>
          <w:color w:val="000000"/>
        </w:rPr>
        <w:t>ára gyakorolt hatással</w:t>
      </w:r>
      <w:r w:rsidRPr="006A4CCA">
        <w:rPr>
          <w:color w:val="000000"/>
        </w:rPr>
        <w:t>, illetve építészeti örökségé</w:t>
      </w:r>
      <w:r>
        <w:rPr>
          <w:color w:val="000000"/>
        </w:rPr>
        <w:t>nek</w:t>
      </w:r>
      <w:r w:rsidRPr="006A4CCA">
        <w:rPr>
          <w:color w:val="000000"/>
        </w:rPr>
        <w:t xml:space="preserve"> </w:t>
      </w:r>
      <w:r>
        <w:rPr>
          <w:color w:val="000000"/>
        </w:rPr>
        <w:t>meg</w:t>
      </w:r>
      <w:r w:rsidRPr="006A4CCA">
        <w:rPr>
          <w:color w:val="000000"/>
        </w:rPr>
        <w:t>véd</w:t>
      </w:r>
      <w:r>
        <w:rPr>
          <w:color w:val="000000"/>
        </w:rPr>
        <w:t xml:space="preserve">ésével érheti el a hatáskörébe tartozó </w:t>
      </w:r>
      <w:r w:rsidRPr="006A4CCA">
        <w:rPr>
          <w:color w:val="000000"/>
        </w:rPr>
        <w:t>építészeti- műszaki tervek szakszerűségének és magas színvonalának biztosítás</w:t>
      </w:r>
      <w:r>
        <w:rPr>
          <w:color w:val="000000"/>
        </w:rPr>
        <w:t>án keresztül</w:t>
      </w:r>
      <w:r w:rsidRPr="006A4CCA">
        <w:rPr>
          <w:color w:val="000000"/>
        </w:rPr>
        <w:t>,</w:t>
      </w:r>
      <w:r>
        <w:rPr>
          <w:color w:val="000000"/>
        </w:rPr>
        <w:t xml:space="preserve"> továbbá</w:t>
      </w:r>
      <w:r w:rsidRPr="006A4CCA">
        <w:rPr>
          <w:color w:val="000000"/>
        </w:rPr>
        <w:t xml:space="preserve"> a vonatkozó jogszabályok és a településképi követelmények érvényre juttatás</w:t>
      </w:r>
      <w:r>
        <w:rPr>
          <w:color w:val="000000"/>
        </w:rPr>
        <w:t>ának biztosításával.</w:t>
      </w:r>
    </w:p>
    <w:p w:rsidR="00E14369" w:rsidRDefault="00E14369" w:rsidP="00E1436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§: </w:t>
      </w:r>
      <w:r>
        <w:rPr>
          <w:rFonts w:ascii="Times New Roman" w:hAnsi="Times New Roman" w:cs="Times New Roman"/>
          <w:sz w:val="24"/>
          <w:szCs w:val="24"/>
        </w:rPr>
        <w:t>A tervtanács feladatkörének meghatározása.</w:t>
      </w:r>
    </w:p>
    <w:p w:rsidR="00E14369" w:rsidRDefault="00E14369" w:rsidP="00E1436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§: A tervtanács összetételének meghatározása.</w:t>
      </w:r>
    </w:p>
    <w:p w:rsidR="00E14369" w:rsidRDefault="00E14369" w:rsidP="00E1436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5-8. §: A tervtanács működése kereteinek felállítása. Elnökére, tagjaira vonatkozó követelmények, költségvonzatok leírása. Tervtanács működésének dokumentálása.</w:t>
      </w:r>
    </w:p>
    <w:p w:rsidR="00E14369" w:rsidRPr="00FF794D" w:rsidRDefault="00E14369" w:rsidP="00E1436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§: </w:t>
      </w:r>
      <w:r>
        <w:rPr>
          <w:rFonts w:ascii="Times New Roman" w:hAnsi="Times New Roman" w:cs="Times New Roman"/>
          <w:sz w:val="24"/>
          <w:szCs w:val="24"/>
        </w:rPr>
        <w:t>A rendelet hatályba lépésének meghatározása.</w:t>
      </w:r>
    </w:p>
    <w:p w:rsidR="00E14369" w:rsidRPr="00FF794D" w:rsidRDefault="00E14369" w:rsidP="00E1436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E14369" w:rsidRDefault="00E14369" w:rsidP="00E14369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6D3EA5" w:rsidRDefault="00E14369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69"/>
    <w:rsid w:val="00046F8B"/>
    <w:rsid w:val="00BE6DBD"/>
    <w:rsid w:val="00E1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998A3-CB74-4510-B901-7960499C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436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E14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2024-09-19T14:29:00Z</dcterms:created>
  <dcterms:modified xsi:type="dcterms:W3CDTF">2024-09-19T14:30:00Z</dcterms:modified>
</cp:coreProperties>
</file>